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Rutin för månadsavstämning</w:t>
      </w:r>
    </w:p>
    <w:p>
      <w:r>
        <w:t>Det här dokumentet beskriver hur avstämningen går till varje månad. Det är ett exempel på en Word-fil som visas direkt i sidan.</w:t>
      </w:r>
    </w:p>
    <w:p>
      <w:pPr>
        <w:pStyle w:val="Heading1"/>
      </w:pPr>
      <w:r>
        <w:t>1. Förberedelser</w:t>
      </w:r>
    </w:p>
    <w:p>
      <w:pPr>
        <w:pStyle w:val="ListNumber"/>
      </w:pPr>
      <w:r>
        <w:t>Hämta underlaget från föregående månad.</w:t>
      </w:r>
    </w:p>
    <w:p>
      <w:pPr>
        <w:pStyle w:val="ListNumber"/>
      </w:pPr>
      <w:r>
        <w:t>Kontrollera att alla konton är låsta.</w:t>
      </w:r>
    </w:p>
    <w:p>
      <w:pPr>
        <w:pStyle w:val="ListNumber"/>
      </w:pPr>
      <w:r>
        <w:t>Boka ett pass med den som granskar.</w:t>
      </w:r>
    </w:p>
    <w:p>
      <w:pPr>
        <w:pStyle w:val="Heading1"/>
      </w:pPr>
      <w:r>
        <w:t>2. Genomgång</w:t>
      </w:r>
    </w:p>
    <w:p>
      <w:r>
        <w:t xml:space="preserve">Gå igenom varje post och markera avvikelser. </w:t>
      </w:r>
      <w:r>
        <w:rPr>
          <w:b/>
        </w:rPr>
        <w:t>Fetstil</w:t>
      </w:r>
      <w:r>
        <w:t xml:space="preserve"> och </w:t>
      </w:r>
      <w:r>
        <w:rPr>
          <w:i/>
        </w:rPr>
        <w:t>kursiv</w:t>
      </w:r>
      <w:r>
        <w:t xml:space="preserve"> fungerar som vanligt.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Steg</w:t>
            </w:r>
          </w:p>
        </w:tc>
        <w:tc>
          <w:tcPr>
            <w:tcW w:type="dxa" w:w="2880"/>
          </w:tcPr>
          <w:p>
            <w:r>
              <w:t>Ansvarig</w:t>
            </w:r>
          </w:p>
        </w:tc>
        <w:tc>
          <w:tcPr>
            <w:tcW w:type="dxa" w:w="2880"/>
          </w:tcPr>
          <w:p>
            <w:r>
              <w:t>Klart senast</w:t>
            </w:r>
          </w:p>
        </w:tc>
      </w:tr>
      <w:tr>
        <w:tc>
          <w:tcPr>
            <w:tcW w:type="dxa" w:w="2880"/>
          </w:tcPr>
          <w:p>
            <w:r>
              <w:t>Underlag</w:t>
            </w:r>
          </w:p>
        </w:tc>
        <w:tc>
          <w:tcPr>
            <w:tcW w:type="dxa" w:w="2880"/>
          </w:tcPr>
          <w:p>
            <w:r>
              <w:t>Ekonomi</w:t>
            </w:r>
          </w:p>
        </w:tc>
        <w:tc>
          <w:tcPr>
            <w:tcW w:type="dxa" w:w="2880"/>
          </w:tcPr>
          <w:p>
            <w:r>
              <w:t>3:e</w:t>
            </w:r>
          </w:p>
        </w:tc>
      </w:tr>
      <w:tr>
        <w:tc>
          <w:tcPr>
            <w:tcW w:type="dxa" w:w="2880"/>
          </w:tcPr>
          <w:p>
            <w:r>
              <w:t>Avstämning</w:t>
            </w:r>
          </w:p>
        </w:tc>
        <w:tc>
          <w:tcPr>
            <w:tcW w:type="dxa" w:w="2880"/>
          </w:tcPr>
          <w:p>
            <w:r>
              <w:t>Controller</w:t>
            </w:r>
          </w:p>
        </w:tc>
        <w:tc>
          <w:tcPr>
            <w:tcW w:type="dxa" w:w="2880"/>
          </w:tcPr>
          <w:p>
            <w:r>
              <w:t>8:e</w:t>
            </w:r>
          </w:p>
        </w:tc>
      </w:tr>
      <w:tr>
        <w:tc>
          <w:tcPr>
            <w:tcW w:type="dxa" w:w="2880"/>
          </w:tcPr>
          <w:p>
            <w:r>
              <w:t>Granskning</w:t>
            </w:r>
          </w:p>
        </w:tc>
        <w:tc>
          <w:tcPr>
            <w:tcW w:type="dxa" w:w="2880"/>
          </w:tcPr>
          <w:p>
            <w:r>
              <w:t>Granskare</w:t>
            </w:r>
          </w:p>
        </w:tc>
        <w:tc>
          <w:tcPr>
            <w:tcW w:type="dxa" w:w="2880"/>
          </w:tcPr>
          <w:p>
            <w:r>
              <w:t>10:e</w:t>
            </w:r>
          </w:p>
        </w:tc>
      </w:tr>
      <w:tr>
        <w:tc>
          <w:tcPr>
            <w:tcW w:type="dxa" w:w="2880"/>
          </w:tcPr>
          <w:p>
            <w:r>
              <w:t>Arkivering</w:t>
            </w:r>
          </w:p>
        </w:tc>
        <w:tc>
          <w:tcPr>
            <w:tcW w:type="dxa" w:w="2880"/>
          </w:tcPr>
          <w:p>
            <w:r>
              <w:t>Ekonomi</w:t>
            </w:r>
          </w:p>
        </w:tc>
        <w:tc>
          <w:tcPr>
            <w:tcW w:type="dxa" w:w="2880"/>
          </w:tcPr>
          <w:p>
            <w:r>
              <w:t>12:e</w:t>
            </w:r>
          </w:p>
        </w:tc>
      </w:tr>
    </w:tbl>
    <w:p>
      <w:pPr>
        <w:pStyle w:val="Heading1"/>
      </w:pPr>
      <w:r>
        <w:t>3. Avvikelser</w:t>
      </w:r>
    </w:p>
    <w:p>
      <w:r>
        <w:t>Avvikelse av typ 1 hanteras genom att den som äger posten får en uppgift med beskrivning, belopp och förslag till åtgärd. Uppgiften stängs när posten är rättad och kontrollerad.</w:t>
      </w:r>
    </w:p>
    <w:p>
      <w:r>
        <w:t>Avvikelse av typ 2 hanteras genom att den som äger posten får en uppgift med beskrivning, belopp och förslag till åtgärd. Uppgiften stängs när posten är rättad och kontrollerad.</w:t>
      </w:r>
    </w:p>
    <w:p>
      <w:r>
        <w:t>Avvikelse av typ 3 hanteras genom att den som äger posten får en uppgift med beskrivning, belopp och förslag till åtgärd. Uppgiften stängs när posten är rättad och kontrollerad.</w:t>
      </w:r>
    </w:p>
    <w:p>
      <w:r>
        <w:t>Avvikelse av typ 4 hanteras genom att den som äger posten får en uppgift med beskrivning, belopp och förslag till åtgärd. Uppgiften stängs när posten är rättad och kontrollerad.</w:t>
      </w:r>
    </w:p>
    <w:p>
      <w:r>
        <w:t>Avvikelse av typ 5 hanteras genom att den som äger posten får en uppgift med beskrivning, belopp och förslag till åtgärd. Uppgiften stängs när posten är rättad och kontrollerad.</w:t>
      </w:r>
    </w:p>
    <w:p>
      <w:r>
        <w:br w:type="page"/>
      </w:r>
    </w:p>
    <w:p>
      <w:pPr>
        <w:pStyle w:val="Heading1"/>
      </w:pPr>
      <w:r>
        <w:t>Bilaga: ordlista</w:t>
      </w:r>
    </w:p>
    <w:p>
      <w:pPr>
        <w:pStyle w:val="ListBullet"/>
      </w:pPr>
      <w:r>
        <w:rPr>
          <w:b/>
        </w:rPr>
        <w:t xml:space="preserve">Avstämning: </w:t>
      </w:r>
      <w:r>
        <w:t>Kontroll av att två källor stämmer överens.</w:t>
      </w:r>
    </w:p>
    <w:p>
      <w:pPr>
        <w:pStyle w:val="ListBullet"/>
      </w:pPr>
      <w:r>
        <w:rPr>
          <w:b/>
        </w:rPr>
        <w:t xml:space="preserve">Post: </w:t>
      </w:r>
      <w:r>
        <w:t>En rad i underlaget.</w:t>
      </w:r>
    </w:p>
    <w:p>
      <w:pPr>
        <w:pStyle w:val="ListBullet"/>
      </w:pPr>
      <w:r>
        <w:rPr>
          <w:b/>
        </w:rPr>
        <w:t xml:space="preserve">Granskare: </w:t>
      </w:r>
      <w:r>
        <w:t>Den som godkänner avstämningen.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